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94" w:rsidRPr="008959BE" w:rsidRDefault="00365401" w:rsidP="00ED55DD">
      <w:pPr>
        <w:ind w:firstLine="708"/>
        <w:jc w:val="both"/>
      </w:pPr>
      <w:r w:rsidRPr="008959BE">
        <w:t>K</w:t>
      </w:r>
      <w:r w:rsidR="00EF3F94" w:rsidRPr="008959BE">
        <w:t>westie wkopów lub odwiertów oraz pozwoleń wodnoprawnych regulują 2 niżej wymienione ustawy tj.:</w:t>
      </w:r>
    </w:p>
    <w:p w:rsidR="00EF3F94" w:rsidRPr="008959BE" w:rsidRDefault="00EF3F94" w:rsidP="00AA3F6F">
      <w:pPr>
        <w:numPr>
          <w:ilvl w:val="0"/>
          <w:numId w:val="15"/>
        </w:numPr>
        <w:jc w:val="both"/>
      </w:pPr>
      <w:r w:rsidRPr="008959BE">
        <w:rPr>
          <w:b/>
          <w:u w:val="single"/>
        </w:rPr>
        <w:t xml:space="preserve">ustawą z dnia </w:t>
      </w:r>
      <w:r w:rsidRPr="008959BE">
        <w:rPr>
          <w:b/>
          <w:bCs/>
          <w:u w:val="single"/>
        </w:rPr>
        <w:t xml:space="preserve">9 czerwca 2011 r., Prawo geologiczne i górnicze (Dz. U. z </w:t>
      </w:r>
      <w:r w:rsidRPr="008959BE">
        <w:rPr>
          <w:b/>
          <w:u w:val="single"/>
        </w:rPr>
        <w:t>201</w:t>
      </w:r>
      <w:r w:rsidR="008959BE" w:rsidRPr="008959BE">
        <w:rPr>
          <w:b/>
          <w:u w:val="single"/>
        </w:rPr>
        <w:t>6</w:t>
      </w:r>
      <w:r w:rsidRPr="008959BE">
        <w:rPr>
          <w:b/>
          <w:u w:val="single"/>
        </w:rPr>
        <w:t xml:space="preserve"> r., poz.</w:t>
      </w:r>
      <w:r w:rsidR="008959BE" w:rsidRPr="008959BE">
        <w:rPr>
          <w:b/>
          <w:u w:val="single"/>
        </w:rPr>
        <w:t xml:space="preserve"> 1131</w:t>
      </w:r>
      <w:r w:rsidRPr="008959BE">
        <w:rPr>
          <w:b/>
          <w:u w:val="single"/>
        </w:rPr>
        <w:t xml:space="preserve"> z późn. zm.),</w:t>
      </w:r>
    </w:p>
    <w:p w:rsidR="00EF3F94" w:rsidRPr="008959BE" w:rsidRDefault="00EF3F94" w:rsidP="00AA3F6F">
      <w:pPr>
        <w:jc w:val="both"/>
      </w:pPr>
      <w:r w:rsidRPr="008959BE">
        <w:rPr>
          <w:color w:val="000000"/>
        </w:rPr>
        <w:t xml:space="preserve">Zgodnie z </w:t>
      </w:r>
      <w:r w:rsidRPr="008959BE">
        <w:rPr>
          <w:color w:val="1B1B1B"/>
        </w:rPr>
        <w:t>art. 3 pkt 2a</w:t>
      </w:r>
      <w:r w:rsidRPr="008959BE">
        <w:rPr>
          <w:color w:val="000000"/>
        </w:rPr>
        <w:t xml:space="preserve"> do wykonywania wkopów oraz otworów wiertniczych o głębokości </w:t>
      </w:r>
      <w:r w:rsidRPr="008959BE">
        <w:rPr>
          <w:b/>
          <w:color w:val="000000"/>
        </w:rPr>
        <w:t>do 30 m</w:t>
      </w:r>
      <w:r w:rsidRPr="008959BE">
        <w:rPr>
          <w:color w:val="000000"/>
        </w:rPr>
        <w:t xml:space="preserve"> w celu wykonywania ujęć wód podziemnych na potrzeby poboru wód podziemnych </w:t>
      </w:r>
      <w:r w:rsidRPr="008959BE">
        <w:rPr>
          <w:b/>
          <w:color w:val="000000"/>
        </w:rPr>
        <w:t>w ilości nieprzekraczającej 5 m</w:t>
      </w:r>
      <w:r w:rsidRPr="008959BE">
        <w:rPr>
          <w:b/>
          <w:color w:val="000000"/>
          <w:vertAlign w:val="superscript"/>
        </w:rPr>
        <w:t xml:space="preserve">3 </w:t>
      </w:r>
      <w:r w:rsidRPr="008959BE">
        <w:rPr>
          <w:b/>
          <w:color w:val="000000"/>
        </w:rPr>
        <w:t>na dobę</w:t>
      </w:r>
      <w:r w:rsidRPr="008959BE">
        <w:rPr>
          <w:color w:val="000000"/>
        </w:rPr>
        <w:t xml:space="preserve"> poza obszarami górniczymi utworzonymi w celu wykonywania działalności metodą otworów wiertniczych nie stosuje się zapisów w/</w:t>
      </w:r>
      <w:proofErr w:type="spellStart"/>
      <w:r w:rsidRPr="008959BE">
        <w:rPr>
          <w:color w:val="000000"/>
        </w:rPr>
        <w:t>cyt</w:t>
      </w:r>
      <w:proofErr w:type="spellEnd"/>
      <w:r w:rsidRPr="008959BE">
        <w:rPr>
          <w:color w:val="000000"/>
        </w:rPr>
        <w:t xml:space="preserve"> </w:t>
      </w:r>
      <w:r w:rsidRPr="008959BE">
        <w:rPr>
          <w:color w:val="1B1B1B"/>
        </w:rPr>
        <w:t>ustawy</w:t>
      </w:r>
      <w:r w:rsidRPr="008959BE">
        <w:rPr>
          <w:color w:val="000000"/>
        </w:rPr>
        <w:t xml:space="preserve"> prawo geologiczne i górnicze. </w:t>
      </w:r>
      <w:r w:rsidRPr="008959BE">
        <w:t>Oznacza to, że starosta nie musi już zatwierdzać projektu robót geologicznych i dokumentacji hydrogeologicznej ustalającej zasoby ujęcia w</w:t>
      </w:r>
      <w:r w:rsidR="008959BE" w:rsidRPr="008959BE">
        <w:t> </w:t>
      </w:r>
      <w:r w:rsidRPr="008959BE">
        <w:t>celu wykonania studni służącej do zwykłego korzystania z wód, a także działalności, jeżeli pobór wód nie będzie większy niż 5 m</w:t>
      </w:r>
      <w:r w:rsidRPr="008959BE">
        <w:rPr>
          <w:vertAlign w:val="superscript"/>
        </w:rPr>
        <w:t>3</w:t>
      </w:r>
      <w:r w:rsidRPr="008959BE">
        <w:t xml:space="preserve"> na dobę.</w:t>
      </w:r>
    </w:p>
    <w:p w:rsidR="00EF3F94" w:rsidRPr="00D21512" w:rsidRDefault="00EF3F94" w:rsidP="00AA3F6F">
      <w:pPr>
        <w:jc w:val="both"/>
      </w:pPr>
      <w:r w:rsidRPr="008959BE">
        <w:rPr>
          <w:color w:val="000000"/>
        </w:rPr>
        <w:t xml:space="preserve">Dla otworów </w:t>
      </w:r>
      <w:r w:rsidRPr="008959BE">
        <w:rPr>
          <w:b/>
          <w:color w:val="000000"/>
        </w:rPr>
        <w:t>głębszych niż 30 m</w:t>
      </w:r>
      <w:r w:rsidRPr="008959BE">
        <w:rPr>
          <w:color w:val="000000"/>
        </w:rPr>
        <w:t xml:space="preserve"> ustawa ma zastosowanie, zatem Inwestor zobowiązany jest do opracowania i zatwierdzenia projektu robót geologicznych oraz dokumentacji </w:t>
      </w:r>
      <w:r w:rsidRPr="00D21512">
        <w:rPr>
          <w:color w:val="000000"/>
        </w:rPr>
        <w:t xml:space="preserve">hydrogeologicznej ustalającej zasoby. </w:t>
      </w:r>
    </w:p>
    <w:p w:rsidR="00EF3F94" w:rsidRPr="00120A86" w:rsidRDefault="00EF3F94" w:rsidP="00AA3F6F">
      <w:pPr>
        <w:numPr>
          <w:ilvl w:val="0"/>
          <w:numId w:val="15"/>
        </w:numPr>
        <w:rPr>
          <w:b/>
          <w:u w:val="single"/>
        </w:rPr>
      </w:pPr>
      <w:r w:rsidRPr="00120A86">
        <w:rPr>
          <w:b/>
          <w:u w:val="single"/>
        </w:rPr>
        <w:t xml:space="preserve">ustawą </w:t>
      </w:r>
      <w:r w:rsidRPr="00120A86">
        <w:rPr>
          <w:b/>
          <w:bCs/>
          <w:u w:val="single"/>
        </w:rPr>
        <w:t>z dnia 18 lipca 2001 r.,</w:t>
      </w:r>
      <w:r w:rsidRPr="00120A86">
        <w:rPr>
          <w:b/>
          <w:u w:val="single"/>
        </w:rPr>
        <w:t xml:space="preserve"> Prawo wodne (Dz. U z 2015 poz.</w:t>
      </w:r>
      <w:r w:rsidRPr="00120A86">
        <w:rPr>
          <w:b/>
          <w:szCs w:val="24"/>
          <w:u w:val="single"/>
        </w:rPr>
        <w:t xml:space="preserve"> 469 z późn. zm.) </w:t>
      </w:r>
    </w:p>
    <w:p w:rsidR="00EF3F94" w:rsidRPr="00120A86" w:rsidRDefault="00EF3F94" w:rsidP="00081858">
      <w:pPr>
        <w:jc w:val="both"/>
        <w:rPr>
          <w:color w:val="000000"/>
        </w:rPr>
      </w:pPr>
      <w:r w:rsidRPr="00120A86">
        <w:rPr>
          <w:color w:val="000000"/>
        </w:rPr>
        <w:t xml:space="preserve">Zgodnie z ogólną zasadą </w:t>
      </w:r>
      <w:r w:rsidRPr="00120A86">
        <w:rPr>
          <w:color w:val="1B1B1B"/>
        </w:rPr>
        <w:t>art. 36 ust. 1</w:t>
      </w:r>
      <w:r w:rsidRPr="00120A86">
        <w:rPr>
          <w:color w:val="000000"/>
        </w:rPr>
        <w:t xml:space="preserve"> w/cyt. ustawy prawo wodne, właścicielowi gruntu przysługuje prawo do zwykłego korzystania z wód stanowiących jego własność oraz z wody podziemnej znajdującej się w jego gruncie; prawo to nie stanowi prawa do wykonywania urządzeń wodnych bez wymaganego pozwolenia wodnoprawnego. Zwykłe korzystanie z wód służy zaspokojeniu potrzeb własnego gospodarstwa domowego oraz gospodarstwa rolnego (</w:t>
      </w:r>
      <w:r w:rsidRPr="00120A86">
        <w:rPr>
          <w:color w:val="1B1B1B"/>
        </w:rPr>
        <w:t>ust. 2</w:t>
      </w:r>
      <w:r w:rsidRPr="00120A86">
        <w:rPr>
          <w:color w:val="000000"/>
        </w:rPr>
        <w:t>). Nie stanowi zwykłego korzystania z wód pobór wody powierzchniowej lub podziemnej w ilości większej niż 5 m</w:t>
      </w:r>
      <w:r w:rsidRPr="00120A86">
        <w:rPr>
          <w:color w:val="000000"/>
          <w:vertAlign w:val="superscript"/>
        </w:rPr>
        <w:t xml:space="preserve">3 </w:t>
      </w:r>
      <w:r w:rsidRPr="00120A86">
        <w:rPr>
          <w:color w:val="000000"/>
        </w:rPr>
        <w:t>na dobę oraz korzystanie z wód na potrzeby działalności gospodarczej (</w:t>
      </w:r>
      <w:r w:rsidRPr="00120A86">
        <w:rPr>
          <w:color w:val="1B1B1B"/>
        </w:rPr>
        <w:t xml:space="preserve">ust. 3 pkt. </w:t>
      </w:r>
      <w:r w:rsidR="00D21512" w:rsidRPr="00120A86">
        <w:rPr>
          <w:color w:val="1B1B1B"/>
        </w:rPr>
        <w:t>3</w:t>
      </w:r>
      <w:r w:rsidRPr="00120A86">
        <w:rPr>
          <w:color w:val="000000"/>
        </w:rPr>
        <w:t xml:space="preserve"> i </w:t>
      </w:r>
      <w:r w:rsidR="00D21512" w:rsidRPr="00120A86">
        <w:rPr>
          <w:color w:val="1B1B1B"/>
        </w:rPr>
        <w:t>4</w:t>
      </w:r>
      <w:r w:rsidRPr="00120A86">
        <w:rPr>
          <w:color w:val="000000"/>
        </w:rPr>
        <w:t>).</w:t>
      </w:r>
    </w:p>
    <w:p w:rsidR="00EF3F94" w:rsidRPr="00120A86" w:rsidRDefault="00EF3F94" w:rsidP="00081858">
      <w:pPr>
        <w:jc w:val="both"/>
        <w:rPr>
          <w:color w:val="000000"/>
        </w:rPr>
      </w:pPr>
      <w:r w:rsidRPr="00120A86">
        <w:rPr>
          <w:color w:val="000000"/>
        </w:rPr>
        <w:t>W przypadku gospodarstw domowych decydujące znaczenie ma ilość pobieranej wody w</w:t>
      </w:r>
      <w:r w:rsidR="00120A86" w:rsidRPr="00120A86">
        <w:rPr>
          <w:color w:val="000000"/>
        </w:rPr>
        <w:t> </w:t>
      </w:r>
      <w:r w:rsidRPr="00120A86">
        <w:rPr>
          <w:color w:val="000000"/>
        </w:rPr>
        <w:t xml:space="preserve">ciągu doby oraz głębokość, na jaką została wykona studnia. Ilość pobieranej wody decyduje o </w:t>
      </w:r>
      <w:r w:rsidRPr="00120A86">
        <w:rPr>
          <w:b/>
          <w:color w:val="000000"/>
        </w:rPr>
        <w:t>zwykłym bądź szczególnym korzystaniu z wód</w:t>
      </w:r>
      <w:r w:rsidRPr="00120A86">
        <w:rPr>
          <w:color w:val="000000"/>
        </w:rPr>
        <w:t>. Zwykłe korzystanie będzie wówczas, gdy pobór z ujęcia przez gospodarstwo domowe nie przekroczy 5 m</w:t>
      </w:r>
      <w:r w:rsidRPr="00120A86">
        <w:rPr>
          <w:color w:val="000000"/>
          <w:vertAlign w:val="superscript"/>
        </w:rPr>
        <w:t xml:space="preserve">3 </w:t>
      </w:r>
      <w:r w:rsidRPr="00120A86">
        <w:rPr>
          <w:color w:val="000000"/>
        </w:rPr>
        <w:t>na dobę i</w:t>
      </w:r>
      <w:r w:rsidR="00120A86" w:rsidRPr="00120A86">
        <w:rPr>
          <w:color w:val="000000"/>
        </w:rPr>
        <w:t> </w:t>
      </w:r>
      <w:r w:rsidRPr="00120A86">
        <w:rPr>
          <w:color w:val="000000"/>
        </w:rPr>
        <w:t>w</w:t>
      </w:r>
      <w:r w:rsidR="00120A86" w:rsidRPr="00120A86">
        <w:rPr>
          <w:color w:val="000000"/>
        </w:rPr>
        <w:t> </w:t>
      </w:r>
      <w:r w:rsidRPr="00120A86">
        <w:rPr>
          <w:color w:val="000000"/>
        </w:rPr>
        <w:t>tym przypadku nie jest wymagane pozwolenie wodnoprawne na szczególne korzystanie z</w:t>
      </w:r>
      <w:r w:rsidR="00120A86" w:rsidRPr="00120A86">
        <w:rPr>
          <w:color w:val="000000"/>
        </w:rPr>
        <w:t> </w:t>
      </w:r>
      <w:r w:rsidRPr="00120A86">
        <w:rPr>
          <w:color w:val="000000"/>
        </w:rPr>
        <w:t>wód. W przypadku gdyby ilość pobieranej wody z ujęcia przez gospodarstwo domowe była wyższa niż 5 m</w:t>
      </w:r>
      <w:r w:rsidRPr="00120A86">
        <w:rPr>
          <w:color w:val="000000"/>
          <w:vertAlign w:val="superscript"/>
        </w:rPr>
        <w:t xml:space="preserve">3 </w:t>
      </w:r>
      <w:r w:rsidRPr="00120A86">
        <w:rPr>
          <w:color w:val="000000"/>
        </w:rPr>
        <w:t>na dobę, konieczne byłoby uzyskanie pozwolenia wodnoprawnego. Natomiast wykonanie studni, czyli urządzenia wodnego do poboru wód do głębokości 30 m w przypadku zwykłego korzystania z wód jest zwolnione z konieczności uzyskania pozwolenia wodnoprawnego. Reasumując, jeżeli zatem:</w:t>
      </w:r>
    </w:p>
    <w:p w:rsidR="00EF3F94" w:rsidRPr="008959BE" w:rsidRDefault="00EF3F94" w:rsidP="00536183">
      <w:pPr>
        <w:ind w:left="360"/>
        <w:jc w:val="both"/>
        <w:rPr>
          <w:b/>
          <w:color w:val="000000"/>
          <w:highlight w:val="yellow"/>
        </w:rPr>
      </w:pPr>
      <w:r w:rsidRPr="00BD3577">
        <w:rPr>
          <w:color w:val="000000"/>
        </w:rPr>
        <w:t xml:space="preserve">- pobór wód nie przekroczy </w:t>
      </w:r>
      <w:r w:rsidRPr="00BD3577">
        <w:rPr>
          <w:b/>
          <w:color w:val="000000"/>
        </w:rPr>
        <w:t>5 m</w:t>
      </w:r>
      <w:r w:rsidRPr="00BD3577">
        <w:rPr>
          <w:b/>
          <w:color w:val="000000"/>
          <w:vertAlign w:val="superscript"/>
        </w:rPr>
        <w:t>3</w:t>
      </w:r>
      <w:r w:rsidRPr="00BD3577">
        <w:rPr>
          <w:color w:val="000000"/>
          <w:vertAlign w:val="superscript"/>
        </w:rPr>
        <w:t xml:space="preserve"> </w:t>
      </w:r>
      <w:r w:rsidRPr="00BD3577">
        <w:rPr>
          <w:b/>
          <w:color w:val="000000"/>
        </w:rPr>
        <w:t>na dobę</w:t>
      </w:r>
      <w:r w:rsidRPr="00BD3577">
        <w:rPr>
          <w:color w:val="000000"/>
        </w:rPr>
        <w:t xml:space="preserve"> a studnia jest płytsza niż </w:t>
      </w:r>
      <w:r w:rsidRPr="00BD3577">
        <w:rPr>
          <w:b/>
          <w:color w:val="000000"/>
        </w:rPr>
        <w:t>30 m</w:t>
      </w:r>
      <w:r w:rsidRPr="00BD3577">
        <w:rPr>
          <w:color w:val="000000"/>
        </w:rPr>
        <w:t xml:space="preserve"> – pozwolenia wodnoprawne nie są wymagane (zarówno na budowę urządzenia wodnego jak i pobór wód) - </w:t>
      </w:r>
      <w:r w:rsidRPr="00BD3577">
        <w:rPr>
          <w:b/>
          <w:color w:val="1B1B1B"/>
        </w:rPr>
        <w:t>art. 124 pkt 5 i 8,</w:t>
      </w:r>
    </w:p>
    <w:p w:rsidR="00EF3F94" w:rsidRPr="00BD3577" w:rsidRDefault="00EF3F94" w:rsidP="00536183">
      <w:pPr>
        <w:ind w:left="360"/>
        <w:jc w:val="both"/>
        <w:rPr>
          <w:b/>
          <w:color w:val="000000"/>
        </w:rPr>
      </w:pPr>
      <w:r w:rsidRPr="00BD3577">
        <w:rPr>
          <w:color w:val="000000"/>
        </w:rPr>
        <w:t xml:space="preserve">- pobór nie przekroczy </w:t>
      </w:r>
      <w:r w:rsidRPr="00BD3577">
        <w:rPr>
          <w:b/>
          <w:color w:val="000000"/>
        </w:rPr>
        <w:t>5 m</w:t>
      </w:r>
      <w:r w:rsidRPr="00BD3577">
        <w:rPr>
          <w:b/>
          <w:color w:val="000000"/>
          <w:vertAlign w:val="superscript"/>
        </w:rPr>
        <w:t xml:space="preserve">3 </w:t>
      </w:r>
      <w:r w:rsidRPr="00BD3577">
        <w:rPr>
          <w:b/>
          <w:color w:val="000000"/>
        </w:rPr>
        <w:t>na dobę</w:t>
      </w:r>
      <w:r w:rsidRPr="00BD3577">
        <w:rPr>
          <w:color w:val="000000"/>
        </w:rPr>
        <w:t xml:space="preserve">, ale studnia jest głębsza niż </w:t>
      </w:r>
      <w:r w:rsidRPr="00BD3577">
        <w:rPr>
          <w:b/>
          <w:color w:val="000000"/>
        </w:rPr>
        <w:t>30 m</w:t>
      </w:r>
      <w:r w:rsidRPr="00BD3577">
        <w:rPr>
          <w:color w:val="000000"/>
        </w:rPr>
        <w:t xml:space="preserve"> – wymagane jest pozwolenie wodnoprawne na wykonanie urządzenia wodnego (studni) – </w:t>
      </w:r>
      <w:r w:rsidRPr="00BD3577">
        <w:rPr>
          <w:b/>
          <w:color w:val="000000"/>
        </w:rPr>
        <w:t>art. 124 pkt.</w:t>
      </w:r>
      <w:r w:rsidR="00BD3577" w:rsidRPr="00BD3577">
        <w:rPr>
          <w:b/>
          <w:color w:val="000000"/>
        </w:rPr>
        <w:t xml:space="preserve"> </w:t>
      </w:r>
      <w:r w:rsidRPr="00BD3577">
        <w:rPr>
          <w:b/>
          <w:color w:val="000000"/>
        </w:rPr>
        <w:t xml:space="preserve">5 i </w:t>
      </w:r>
      <w:bookmarkStart w:id="0" w:name="_GoBack"/>
      <w:bookmarkEnd w:id="0"/>
      <w:r w:rsidRPr="00BD3577">
        <w:rPr>
          <w:b/>
          <w:color w:val="000000"/>
        </w:rPr>
        <w:t>8,</w:t>
      </w:r>
    </w:p>
    <w:p w:rsidR="00EF3F94" w:rsidRDefault="00EF3F94" w:rsidP="00365401">
      <w:pPr>
        <w:ind w:left="360"/>
        <w:jc w:val="both"/>
      </w:pPr>
      <w:r w:rsidRPr="00BD3577">
        <w:rPr>
          <w:color w:val="000000"/>
        </w:rPr>
        <w:t xml:space="preserve">- pobór przekroczy </w:t>
      </w:r>
      <w:r w:rsidRPr="00BD3577">
        <w:rPr>
          <w:b/>
          <w:color w:val="000000"/>
        </w:rPr>
        <w:t>5 m</w:t>
      </w:r>
      <w:r w:rsidRPr="00BD3577">
        <w:rPr>
          <w:b/>
          <w:color w:val="000000"/>
          <w:vertAlign w:val="superscript"/>
        </w:rPr>
        <w:t>3</w:t>
      </w:r>
      <w:r w:rsidRPr="00BD3577">
        <w:rPr>
          <w:color w:val="000000"/>
          <w:vertAlign w:val="superscript"/>
        </w:rPr>
        <w:t xml:space="preserve"> </w:t>
      </w:r>
      <w:r w:rsidRPr="00BD3577">
        <w:rPr>
          <w:b/>
          <w:color w:val="000000"/>
        </w:rPr>
        <w:t>na dobę</w:t>
      </w:r>
      <w:r w:rsidRPr="00BD3577">
        <w:rPr>
          <w:color w:val="000000"/>
        </w:rPr>
        <w:t xml:space="preserve"> - pozwolenie wodnoprawne będzie wymagane na </w:t>
      </w:r>
      <w:r w:rsidRPr="00BD3577">
        <w:rPr>
          <w:b/>
          <w:color w:val="000000"/>
        </w:rPr>
        <w:t>szczególne korzystanie</w:t>
      </w:r>
      <w:r w:rsidRPr="00BD3577">
        <w:rPr>
          <w:color w:val="000000"/>
        </w:rPr>
        <w:t xml:space="preserve">, </w:t>
      </w:r>
      <w:r w:rsidRPr="00BD3577">
        <w:rPr>
          <w:b/>
          <w:color w:val="000000"/>
        </w:rPr>
        <w:t>czyli pobór wód oraz na wykonanie urządzenia wodnego, (studni).</w:t>
      </w:r>
    </w:p>
    <w:sectPr w:rsidR="00EF3F94" w:rsidSect="00365401">
      <w:pgSz w:w="11907" w:h="16839" w:code="9"/>
      <w:pgMar w:top="426" w:right="1440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4C4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2B83B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33AF0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232E6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C6087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92A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8211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EB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968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4200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EC7DD9"/>
    <w:multiLevelType w:val="hybridMultilevel"/>
    <w:tmpl w:val="8F58C644"/>
    <w:lvl w:ilvl="0" w:tplc="E6CEF02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4594126A"/>
    <w:multiLevelType w:val="hybridMultilevel"/>
    <w:tmpl w:val="7A30146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E37ED6"/>
    <w:multiLevelType w:val="hybridMultilevel"/>
    <w:tmpl w:val="59324812"/>
    <w:lvl w:ilvl="0" w:tplc="EA729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B52571"/>
    <w:multiLevelType w:val="hybridMultilevel"/>
    <w:tmpl w:val="6BE0E9FC"/>
    <w:lvl w:ilvl="0" w:tplc="67B40128">
      <w:start w:val="1"/>
      <w:numFmt w:val="bullet"/>
      <w:lvlText w:val=""/>
      <w:lvlJc w:val="left"/>
      <w:pPr>
        <w:tabs>
          <w:tab w:val="num" w:pos="1465"/>
        </w:tabs>
        <w:ind w:left="1465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7427CCA"/>
    <w:multiLevelType w:val="hybridMultilevel"/>
    <w:tmpl w:val="ED489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D74"/>
    <w:rsid w:val="00081858"/>
    <w:rsid w:val="000E7B6E"/>
    <w:rsid w:val="00120A86"/>
    <w:rsid w:val="00155B73"/>
    <w:rsid w:val="0016140E"/>
    <w:rsid w:val="0021773D"/>
    <w:rsid w:val="002C18BA"/>
    <w:rsid w:val="002D1581"/>
    <w:rsid w:val="003504C9"/>
    <w:rsid w:val="00365401"/>
    <w:rsid w:val="003828DD"/>
    <w:rsid w:val="003C7CEC"/>
    <w:rsid w:val="00474F9F"/>
    <w:rsid w:val="004A1B8A"/>
    <w:rsid w:val="00536183"/>
    <w:rsid w:val="005474B3"/>
    <w:rsid w:val="0066367F"/>
    <w:rsid w:val="0085722E"/>
    <w:rsid w:val="00861A4A"/>
    <w:rsid w:val="0088089F"/>
    <w:rsid w:val="008959BE"/>
    <w:rsid w:val="008C1D74"/>
    <w:rsid w:val="008E58BA"/>
    <w:rsid w:val="0092297F"/>
    <w:rsid w:val="00996C3C"/>
    <w:rsid w:val="009F6A0D"/>
    <w:rsid w:val="00AA3F6F"/>
    <w:rsid w:val="00AB6D9F"/>
    <w:rsid w:val="00AC3D7E"/>
    <w:rsid w:val="00BD3577"/>
    <w:rsid w:val="00C000B4"/>
    <w:rsid w:val="00C24712"/>
    <w:rsid w:val="00C616D6"/>
    <w:rsid w:val="00CD6D19"/>
    <w:rsid w:val="00D21512"/>
    <w:rsid w:val="00DE1A69"/>
    <w:rsid w:val="00DF7F1A"/>
    <w:rsid w:val="00E1122C"/>
    <w:rsid w:val="00E21523"/>
    <w:rsid w:val="00ED55DD"/>
    <w:rsid w:val="00EF3F94"/>
    <w:rsid w:val="00F27300"/>
    <w:rsid w:val="00F3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91FE9"/>
  <w15:docId w15:val="{D76233F5-378F-483D-B44C-DB635029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F6A0D"/>
    <w:pPr>
      <w:spacing w:after="200" w:line="276" w:lineRule="auto"/>
    </w:pPr>
    <w:rPr>
      <w:rFonts w:ascii="Open Sans" w:hAnsi="Open Sans" w:cs="Open Sans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6A0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6A0D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6A0D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6A0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F6A0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F6A0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F6A0D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F6A0D"/>
    <w:rPr>
      <w:rFonts w:ascii="Cambria" w:hAnsi="Cambria" w:cs="Times New Roman"/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9F6A0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F6A0D"/>
    <w:rPr>
      <w:rFonts w:cs="Times New Roman"/>
    </w:rPr>
  </w:style>
  <w:style w:type="paragraph" w:styleId="Wcicienormalne">
    <w:name w:val="Normal Indent"/>
    <w:basedOn w:val="Normalny"/>
    <w:uiPriority w:val="99"/>
    <w:rsid w:val="009F6A0D"/>
    <w:pPr>
      <w:ind w:left="720"/>
    </w:pPr>
  </w:style>
  <w:style w:type="paragraph" w:styleId="Podtytu">
    <w:name w:val="Subtitle"/>
    <w:basedOn w:val="Normalny"/>
    <w:next w:val="Normalny"/>
    <w:link w:val="PodtytuZnak"/>
    <w:uiPriority w:val="99"/>
    <w:qFormat/>
    <w:rsid w:val="009F6A0D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F6A0D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9F6A0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9F6A0D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99"/>
    <w:qFormat/>
    <w:rsid w:val="009F6A0D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8C1D74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8C1D7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ny"/>
    <w:next w:val="Normalny"/>
    <w:uiPriority w:val="99"/>
    <w:qFormat/>
    <w:rsid w:val="009F6A0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HeaderStyle">
    <w:name w:val="HeaderStyle"/>
    <w:uiPriority w:val="99"/>
    <w:rsid w:val="008C1D74"/>
    <w:pPr>
      <w:spacing w:after="200" w:line="276" w:lineRule="auto"/>
      <w:jc w:val="center"/>
    </w:pPr>
    <w:rPr>
      <w:rFonts w:ascii="Open Sans" w:hAnsi="Open Sans" w:cs="Open Sans"/>
      <w:b/>
      <w:color w:val="000000"/>
      <w:sz w:val="42"/>
    </w:rPr>
  </w:style>
  <w:style w:type="paragraph" w:customStyle="1" w:styleId="TitleStyle">
    <w:name w:val="TitleStyle"/>
    <w:uiPriority w:val="99"/>
    <w:rsid w:val="008C1D74"/>
    <w:pPr>
      <w:spacing w:after="200"/>
    </w:pPr>
    <w:rPr>
      <w:rFonts w:ascii="Open Sans" w:hAnsi="Open Sans" w:cs="Open Sans"/>
      <w:b/>
      <w:color w:val="000000"/>
      <w:sz w:val="32"/>
    </w:rPr>
  </w:style>
  <w:style w:type="paragraph" w:customStyle="1" w:styleId="TitleCenterStyle">
    <w:name w:val="TitleCenterStyle"/>
    <w:uiPriority w:val="99"/>
    <w:rsid w:val="008C1D74"/>
    <w:pPr>
      <w:spacing w:after="200"/>
      <w:jc w:val="center"/>
    </w:pPr>
    <w:rPr>
      <w:rFonts w:ascii="Open Sans" w:hAnsi="Open Sans" w:cs="Open Sans"/>
      <w:b/>
      <w:color w:val="000000"/>
      <w:sz w:val="32"/>
    </w:rPr>
  </w:style>
  <w:style w:type="paragraph" w:customStyle="1" w:styleId="NormalStyle">
    <w:name w:val="NormalStyle"/>
    <w:uiPriority w:val="99"/>
    <w:rsid w:val="008C1D74"/>
    <w:rPr>
      <w:rFonts w:ascii="Open Sans" w:hAnsi="Open Sans" w:cs="Open Sans"/>
      <w:color w:val="000000"/>
      <w:sz w:val="24"/>
    </w:rPr>
  </w:style>
  <w:style w:type="paragraph" w:customStyle="1" w:styleId="NormalSpacingStyle">
    <w:name w:val="NormalSpacingStyle"/>
    <w:uiPriority w:val="99"/>
    <w:rsid w:val="008C1D74"/>
    <w:pPr>
      <w:spacing w:after="200"/>
    </w:pPr>
    <w:rPr>
      <w:rFonts w:ascii="Open Sans" w:hAnsi="Open Sans" w:cs="Open Sans"/>
      <w:color w:val="000000"/>
      <w:sz w:val="24"/>
    </w:rPr>
  </w:style>
  <w:style w:type="paragraph" w:customStyle="1" w:styleId="BoldStyle">
    <w:name w:val="BoldStyle"/>
    <w:uiPriority w:val="99"/>
    <w:rsid w:val="008C1D74"/>
    <w:rPr>
      <w:rFonts w:ascii="Open Sans" w:hAnsi="Open Sans" w:cs="Open Sans"/>
      <w:b/>
      <w:color w:val="000000"/>
      <w:sz w:val="24"/>
    </w:rPr>
  </w:style>
  <w:style w:type="paragraph" w:customStyle="1" w:styleId="DocDefaults">
    <w:name w:val="DocDefaults"/>
    <w:uiPriority w:val="99"/>
    <w:rsid w:val="008C1D74"/>
    <w:pPr>
      <w:spacing w:after="200" w:line="276" w:lineRule="auto"/>
    </w:pPr>
    <w:rPr>
      <w:sz w:val="24"/>
    </w:rPr>
  </w:style>
  <w:style w:type="paragraph" w:styleId="NormalnyWeb">
    <w:name w:val="Normal (Web)"/>
    <w:basedOn w:val="Normalny"/>
    <w:uiPriority w:val="99"/>
    <w:rsid w:val="00C24712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9229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7CEC"/>
    <w:rPr>
      <w:rFonts w:ascii="Times New Roman" w:hAnsi="Times New Roman" w:cs="Open Sans"/>
      <w:sz w:val="2"/>
    </w:rPr>
  </w:style>
  <w:style w:type="paragraph" w:styleId="Lista">
    <w:name w:val="List"/>
    <w:basedOn w:val="Normalny"/>
    <w:uiPriority w:val="99"/>
    <w:rsid w:val="00996C3C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8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7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1B525856</Template>
  <TotalTime>244</TotalTime>
  <Pages>1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 wykonanie studni dla potrzeb dwóch gospodarstw domowych w celu zaspokojenia własnych potrzeb stanowi szczególne korzystanie z wód, które wymaga pozwolenia wodnoprawnego</vt:lpstr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 wykonanie studni dla potrzeb dwóch gospodarstw domowych w celu zaspokojenia własnych potrzeb stanowi szczególne korzystanie z wód, które wymaga pozwolenia wodnoprawnego</dc:title>
  <dc:subject/>
  <dc:creator/>
  <cp:keywords/>
  <dc:description/>
  <cp:lastModifiedBy>Katarzyna Bociek</cp:lastModifiedBy>
  <cp:revision>14</cp:revision>
  <cp:lastPrinted>2017-02-28T08:37:00Z</cp:lastPrinted>
  <dcterms:created xsi:type="dcterms:W3CDTF">2016-04-18T08:27:00Z</dcterms:created>
  <dcterms:modified xsi:type="dcterms:W3CDTF">2017-02-28T11:45:00Z</dcterms:modified>
</cp:coreProperties>
</file>